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352"/>
        <w:gridCol w:w="1352"/>
        <w:gridCol w:w="1640"/>
        <w:gridCol w:w="1575"/>
        <w:gridCol w:w="2160"/>
      </w:tblGrid>
      <w:tr w:rsidR="00BA5B68" w:rsidRPr="00C13B19" w14:paraId="133EE81F" w14:textId="77777777" w:rsidTr="00560E08">
        <w:trPr>
          <w:trHeight w:val="449"/>
        </w:trPr>
        <w:tc>
          <w:tcPr>
            <w:tcW w:w="1911" w:type="dxa"/>
            <w:shd w:val="clear" w:color="auto" w:fill="auto"/>
            <w:vAlign w:val="bottom"/>
          </w:tcPr>
          <w:p w14:paraId="2D4CC5BC" w14:textId="2B1DCE38" w:rsidR="00BA5B68" w:rsidRPr="00C13B19" w:rsidRDefault="00BA5B68" w:rsidP="16691F1D">
            <w:pPr>
              <w:pStyle w:val="Header"/>
              <w:rPr>
                <w:rFonts w:ascii="Lato" w:eastAsia="Times New Roman" w:hAnsi="Lato" w:cs="Times New Roman"/>
              </w:rPr>
            </w:pPr>
            <w:bookmarkStart w:id="0" w:name="_Hlk57875124"/>
            <w:r w:rsidRPr="00C13B19">
              <w:rPr>
                <w:rFonts w:ascii="Lato" w:eastAsia="Times New Roman" w:hAnsi="Lato" w:cs="Times New Roman"/>
              </w:rPr>
              <w:t>CHAPTER:</w:t>
            </w:r>
          </w:p>
        </w:tc>
        <w:tc>
          <w:tcPr>
            <w:tcW w:w="1352" w:type="dxa"/>
            <w:shd w:val="clear" w:color="auto" w:fill="auto"/>
            <w:vAlign w:val="bottom"/>
          </w:tcPr>
          <w:p w14:paraId="6EBB843C" w14:textId="733F8D56" w:rsidR="00BA5B68" w:rsidRPr="00C13B19" w:rsidRDefault="00825910" w:rsidP="16691F1D">
            <w:pPr>
              <w:snapToGrid w:val="0"/>
              <w:spacing w:after="0" w:line="240" w:lineRule="auto"/>
              <w:jc w:val="center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1000</w:t>
            </w:r>
          </w:p>
        </w:tc>
        <w:tc>
          <w:tcPr>
            <w:tcW w:w="1352" w:type="dxa"/>
            <w:shd w:val="clear" w:color="auto" w:fill="auto"/>
            <w:vAlign w:val="bottom"/>
          </w:tcPr>
          <w:p w14:paraId="754A7BEF" w14:textId="18812CB4" w:rsidR="00BA5B68" w:rsidRPr="00C13B19" w:rsidRDefault="00BA5B68" w:rsidP="16691F1D">
            <w:pPr>
              <w:snapToGrid w:val="0"/>
              <w:spacing w:after="0" w:line="240" w:lineRule="auto"/>
              <w:jc w:val="center"/>
              <w:rPr>
                <w:rFonts w:ascii="Lato" w:eastAsia="Times New Roman" w:hAnsi="Lato" w:cs="Times New Roman"/>
              </w:rPr>
            </w:pPr>
            <w:r w:rsidRPr="00C13B19">
              <w:rPr>
                <w:rFonts w:ascii="Lato" w:eastAsia="Times New Roman" w:hAnsi="Lato" w:cs="Times New Roman"/>
              </w:rPr>
              <w:t>Number: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46F3E" w14:textId="22FC1487" w:rsidR="00BA5B68" w:rsidRPr="00C13B19" w:rsidRDefault="008967E6" w:rsidP="16691F1D">
            <w:pPr>
              <w:spacing w:after="0" w:line="240" w:lineRule="auto"/>
              <w:ind w:right="-2077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1</w:t>
            </w:r>
            <w:r w:rsidR="009F0E70">
              <w:rPr>
                <w:rFonts w:ascii="Lato" w:eastAsia="Times New Roman" w:hAnsi="Lato" w:cs="Times New Roman"/>
              </w:rPr>
              <w:t>09</w:t>
            </w:r>
            <w:r w:rsidR="00FA1364">
              <w:rPr>
                <w:rFonts w:ascii="Lato" w:eastAsia="Times New Roman" w:hAnsi="Lato" w:cs="Times New Roman"/>
              </w:rPr>
              <w:t>5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2C7BDB" w14:textId="2F592D96" w:rsidR="00BA5B68" w:rsidRPr="00C13B19" w:rsidRDefault="00F96442" w:rsidP="16691F1D">
            <w:pPr>
              <w:spacing w:after="0" w:line="240" w:lineRule="auto"/>
              <w:ind w:right="-2077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APRROVED: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817A55" w14:textId="08E2C03A" w:rsidR="00BA5B68" w:rsidRPr="00C13B19" w:rsidRDefault="00FF6199" w:rsidP="16691F1D">
            <w:pPr>
              <w:spacing w:after="0" w:line="240" w:lineRule="auto"/>
              <w:ind w:right="-2077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6.8.2021</w:t>
            </w:r>
          </w:p>
        </w:tc>
      </w:tr>
      <w:tr w:rsidR="008F2A9F" w:rsidRPr="00C13B19" w14:paraId="52AB047F" w14:textId="77777777" w:rsidTr="00C440F3">
        <w:trPr>
          <w:trHeight w:val="449"/>
        </w:trPr>
        <w:tc>
          <w:tcPr>
            <w:tcW w:w="1911" w:type="dxa"/>
            <w:shd w:val="clear" w:color="auto" w:fill="auto"/>
            <w:vAlign w:val="bottom"/>
          </w:tcPr>
          <w:p w14:paraId="037349EA" w14:textId="193DD181" w:rsidR="008F2A9F" w:rsidRDefault="008F2A9F" w:rsidP="16691F1D">
            <w:pPr>
              <w:pStyle w:val="Header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REPLACES:</w:t>
            </w:r>
          </w:p>
        </w:tc>
        <w:tc>
          <w:tcPr>
            <w:tcW w:w="8079" w:type="dxa"/>
            <w:gridSpan w:val="5"/>
            <w:shd w:val="clear" w:color="auto" w:fill="auto"/>
            <w:vAlign w:val="bottom"/>
          </w:tcPr>
          <w:p w14:paraId="6BEF3401" w14:textId="7AAFFD45" w:rsidR="008F2A9F" w:rsidRPr="00C13B19" w:rsidRDefault="008F2A9F" w:rsidP="16691F1D">
            <w:pPr>
              <w:spacing w:after="0" w:line="240" w:lineRule="auto"/>
              <w:ind w:right="-2077"/>
              <w:rPr>
                <w:rFonts w:ascii="Lato" w:eastAsia="Times New Roman" w:hAnsi="Lato" w:cs="Times New Roman"/>
              </w:rPr>
            </w:pPr>
          </w:p>
        </w:tc>
      </w:tr>
      <w:tr w:rsidR="0082301C" w:rsidRPr="00C13B19" w14:paraId="75413E93" w14:textId="77777777" w:rsidTr="00295542">
        <w:trPr>
          <w:trHeight w:val="449"/>
        </w:trPr>
        <w:tc>
          <w:tcPr>
            <w:tcW w:w="1911" w:type="dxa"/>
            <w:shd w:val="clear" w:color="auto" w:fill="auto"/>
            <w:vAlign w:val="bottom"/>
          </w:tcPr>
          <w:p w14:paraId="27743B00" w14:textId="4AC6D3F2" w:rsidR="0082301C" w:rsidRDefault="0082301C" w:rsidP="16691F1D">
            <w:pPr>
              <w:pStyle w:val="Header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Last Revised:</w:t>
            </w: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14:paraId="3108319D" w14:textId="19215F83" w:rsidR="0082301C" w:rsidRDefault="0082301C" w:rsidP="16691F1D">
            <w:pPr>
              <w:snapToGrid w:val="0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14:paraId="33460015" w14:textId="77777777" w:rsidR="0082301C" w:rsidRPr="00C13B19" w:rsidRDefault="0082301C" w:rsidP="16691F1D">
            <w:pPr>
              <w:spacing w:after="0" w:line="240" w:lineRule="auto"/>
              <w:ind w:right="-2077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REVIEW: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26419DF" w14:textId="2B743D42" w:rsidR="0082301C" w:rsidRPr="00C13B19" w:rsidRDefault="00FF6199" w:rsidP="16691F1D">
            <w:pPr>
              <w:spacing w:after="0" w:line="240" w:lineRule="auto"/>
              <w:ind w:right="-2077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6.8.2021</w:t>
            </w:r>
          </w:p>
        </w:tc>
      </w:tr>
      <w:tr w:rsidR="00A27FD3" w:rsidRPr="00C13B19" w14:paraId="46649913" w14:textId="77777777" w:rsidTr="00560E08">
        <w:trPr>
          <w:trHeight w:val="449"/>
        </w:trPr>
        <w:tc>
          <w:tcPr>
            <w:tcW w:w="1911" w:type="dxa"/>
            <w:shd w:val="clear" w:color="auto" w:fill="auto"/>
            <w:vAlign w:val="bottom"/>
          </w:tcPr>
          <w:p w14:paraId="32FDB1E9" w14:textId="77777777" w:rsidR="00A27FD3" w:rsidRPr="00C13B19" w:rsidRDefault="4BF18ABE" w:rsidP="16691F1D">
            <w:pPr>
              <w:pStyle w:val="Header"/>
              <w:rPr>
                <w:rFonts w:ascii="Lato" w:eastAsia="Times New Roman" w:hAnsi="Lato" w:cs="Times New Roman"/>
                <w:b/>
                <w:bCs/>
              </w:rPr>
            </w:pPr>
            <w:r w:rsidRPr="00C13B19">
              <w:rPr>
                <w:rFonts w:ascii="Lato" w:eastAsia="Times New Roman" w:hAnsi="Lato" w:cs="Times New Roman"/>
              </w:rPr>
              <w:t>APPROVED:</w:t>
            </w: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14:paraId="499F0ABD" w14:textId="255EE4B8" w:rsidR="00A27FD3" w:rsidRPr="00C13B19" w:rsidRDefault="00FF6199" w:rsidP="16691F1D">
            <w:pPr>
              <w:snapToGrid w:val="0"/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4793538" wp14:editId="78FB7F08">
                  <wp:extent cx="1377355" cy="350520"/>
                  <wp:effectExtent l="0" t="0" r="0" b="0"/>
                  <wp:docPr id="1" name="Picture 1" descr="A picture containing computer, dark, sitting, l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omputer, dark, sitting, li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83" cy="36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gridSpan w:val="3"/>
            <w:shd w:val="clear" w:color="auto" w:fill="auto"/>
            <w:vAlign w:val="bottom"/>
          </w:tcPr>
          <w:p w14:paraId="756BDF5B" w14:textId="51FEF52E" w:rsidR="00A27FD3" w:rsidRPr="00C13B19" w:rsidRDefault="00A9487C" w:rsidP="16691F1D">
            <w:pPr>
              <w:spacing w:after="0" w:line="240" w:lineRule="auto"/>
              <w:ind w:right="-2077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Joe Hoffman</w:t>
            </w:r>
            <w:r w:rsidR="4BF18ABE" w:rsidRPr="00C13B19">
              <w:rPr>
                <w:rFonts w:ascii="Lato" w:eastAsia="Times New Roman" w:hAnsi="Lato" w:cs="Times New Roman"/>
              </w:rPr>
              <w:t>, Medical Program Director</w:t>
            </w:r>
          </w:p>
        </w:tc>
      </w:tr>
      <w:tr w:rsidR="00A27FD3" w:rsidRPr="00C13B19" w14:paraId="3782CCBD" w14:textId="77777777" w:rsidTr="00560E08">
        <w:trPr>
          <w:trHeight w:val="368"/>
        </w:trPr>
        <w:tc>
          <w:tcPr>
            <w:tcW w:w="1911" w:type="dxa"/>
            <w:shd w:val="clear" w:color="auto" w:fill="auto"/>
            <w:vAlign w:val="bottom"/>
          </w:tcPr>
          <w:p w14:paraId="1C5140DA" w14:textId="77777777" w:rsidR="00A27FD3" w:rsidRPr="00C13B19" w:rsidRDefault="00A27FD3" w:rsidP="16691F1D">
            <w:pPr>
              <w:pStyle w:val="Header"/>
              <w:snapToGrid w:val="0"/>
              <w:rPr>
                <w:rFonts w:ascii="Lato" w:eastAsia="Times New Roman" w:hAnsi="Lato" w:cs="Times New Roman"/>
              </w:rPr>
            </w:pPr>
          </w:p>
          <w:p w14:paraId="7431A197" w14:textId="77777777" w:rsidR="00A27FD3" w:rsidRPr="00C13B19" w:rsidRDefault="4BF18ABE" w:rsidP="16691F1D">
            <w:pPr>
              <w:pStyle w:val="Header"/>
              <w:rPr>
                <w:rFonts w:ascii="Lato" w:eastAsia="Times New Roman" w:hAnsi="Lato" w:cs="Times New Roman"/>
                <w:b/>
                <w:bCs/>
              </w:rPr>
            </w:pPr>
            <w:r w:rsidRPr="00C13B19">
              <w:rPr>
                <w:rFonts w:ascii="Lato" w:eastAsia="Times New Roman" w:hAnsi="Lato" w:cs="Times New Roman"/>
              </w:rPr>
              <w:t>APPROVED:</w:t>
            </w: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14:paraId="2F11191D" w14:textId="716A9162" w:rsidR="00A27FD3" w:rsidRPr="00C13B19" w:rsidRDefault="00DC465D" w:rsidP="004211A0">
            <w:pPr>
              <w:snapToGrid w:val="0"/>
              <w:spacing w:after="0" w:line="240" w:lineRule="auto"/>
              <w:rPr>
                <w:rFonts w:ascii="Lato" w:eastAsia="Times New Roman" w:hAnsi="Lato" w:cs="Times New Roman"/>
                <w:b/>
                <w:bCs/>
              </w:rPr>
            </w:pPr>
            <w:r>
              <w:rPr>
                <w:rFonts w:ascii="Lato" w:eastAsia="Times New Roman" w:hAnsi="Lato" w:cs="Times New Roman"/>
                <w:b/>
                <w:bCs/>
                <w:noProof/>
              </w:rPr>
              <w:drawing>
                <wp:inline distT="0" distB="0" distL="0" distR="0" wp14:anchorId="20584B6C" wp14:editId="76523A95">
                  <wp:extent cx="847725" cy="316865"/>
                  <wp:effectExtent l="0" t="0" r="952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gridSpan w:val="3"/>
            <w:shd w:val="clear" w:color="auto" w:fill="auto"/>
            <w:vAlign w:val="bottom"/>
          </w:tcPr>
          <w:p w14:paraId="3DFD3FBB" w14:textId="7D4F62D0" w:rsidR="00A27FD3" w:rsidRPr="00C13B19" w:rsidRDefault="00A9487C" w:rsidP="16691F1D">
            <w:pPr>
              <w:spacing w:after="0" w:line="240" w:lineRule="auto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John Oliver</w:t>
            </w:r>
            <w:r w:rsidR="4BF18ABE" w:rsidRPr="00C13B19">
              <w:rPr>
                <w:rFonts w:ascii="Lato" w:eastAsia="Times New Roman" w:hAnsi="Lato" w:cs="Times New Roman"/>
              </w:rPr>
              <w:t xml:space="preserve">, Chair      </w:t>
            </w:r>
          </w:p>
        </w:tc>
      </w:tr>
      <w:bookmarkEnd w:id="0"/>
    </w:tbl>
    <w:p w14:paraId="37D02B7E" w14:textId="77777777" w:rsidR="00C13B19" w:rsidRDefault="00C13B19" w:rsidP="43849FF2">
      <w:pPr>
        <w:tabs>
          <w:tab w:val="left" w:pos="1260"/>
        </w:tabs>
        <w:spacing w:after="120" w:line="240" w:lineRule="auto"/>
        <w:ind w:left="1260" w:hanging="1260"/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2AC41A7C" w14:textId="5C69D774" w:rsidR="00EC6193" w:rsidRDefault="00825910" w:rsidP="009933C6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33C6">
        <w:rPr>
          <w:rFonts w:ascii="Arial" w:eastAsia="Times New Roman" w:hAnsi="Arial" w:cs="Arial"/>
          <w:b/>
          <w:bCs/>
          <w:sz w:val="24"/>
          <w:szCs w:val="24"/>
        </w:rPr>
        <w:t>Purpose:</w:t>
      </w:r>
    </w:p>
    <w:p w14:paraId="637B5195" w14:textId="77777777" w:rsidR="009933C6" w:rsidRPr="009933C6" w:rsidRDefault="009933C6" w:rsidP="009933C6">
      <w:pPr>
        <w:tabs>
          <w:tab w:val="left" w:pos="1260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521EA45B" w14:textId="77777777" w:rsidR="00004EED" w:rsidRPr="00B75E14" w:rsidRDefault="0093466A" w:rsidP="00004EED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</w:rPr>
      </w:pPr>
      <w:r w:rsidRPr="00B75E14">
        <w:rPr>
          <w:rFonts w:ascii="Arial" w:eastAsia="Times New Roman" w:hAnsi="Arial" w:cs="Arial"/>
        </w:rPr>
        <w:t xml:space="preserve">      </w:t>
      </w:r>
      <w:r w:rsidR="00004EED" w:rsidRPr="00B75E14">
        <w:rPr>
          <w:rFonts w:ascii="Arial" w:hAnsi="Arial" w:cs="Arial"/>
        </w:rPr>
        <w:t xml:space="preserve">The purpose of the Surplus Policy is to provide a clear and concise guideline for the  </w:t>
      </w:r>
    </w:p>
    <w:p w14:paraId="556A1B4E" w14:textId="77777777" w:rsidR="009933C6" w:rsidRDefault="00004EED" w:rsidP="00004EED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</w:rPr>
      </w:pPr>
      <w:r w:rsidRPr="00B75E14">
        <w:rPr>
          <w:rFonts w:ascii="Arial" w:hAnsi="Arial" w:cs="Arial"/>
        </w:rPr>
        <w:t xml:space="preserve">       disbursement/disposal of all Kitsap County EMS &amp; Trauma Care Council surplus property. </w:t>
      </w:r>
      <w:r w:rsidR="009933C6">
        <w:rPr>
          <w:rFonts w:ascii="Arial" w:hAnsi="Arial" w:cs="Arial"/>
        </w:rPr>
        <w:t xml:space="preserve"> </w:t>
      </w:r>
    </w:p>
    <w:p w14:paraId="71B4C59C" w14:textId="77777777" w:rsidR="009933C6" w:rsidRDefault="009933C6" w:rsidP="00004EED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04EED" w:rsidRPr="00B75E14">
        <w:rPr>
          <w:rFonts w:ascii="Arial" w:hAnsi="Arial" w:cs="Arial"/>
        </w:rPr>
        <w:t xml:space="preserve">KCEMS &amp; </w:t>
      </w:r>
      <w:proofErr w:type="gramStart"/>
      <w:r w:rsidR="00004EED" w:rsidRPr="00B75E14">
        <w:rPr>
          <w:rFonts w:ascii="Arial" w:hAnsi="Arial" w:cs="Arial"/>
        </w:rPr>
        <w:t>TCC</w:t>
      </w:r>
      <w:r>
        <w:rPr>
          <w:rFonts w:ascii="Arial" w:hAnsi="Arial" w:cs="Arial"/>
        </w:rPr>
        <w:t xml:space="preserve">  </w:t>
      </w:r>
      <w:r w:rsidR="00004EED" w:rsidRPr="00B75E14">
        <w:rPr>
          <w:rFonts w:ascii="Arial" w:hAnsi="Arial" w:cs="Arial"/>
        </w:rPr>
        <w:t>intends</w:t>
      </w:r>
      <w:proofErr w:type="gramEnd"/>
      <w:r w:rsidR="00004EED" w:rsidRPr="00B75E14">
        <w:rPr>
          <w:rFonts w:ascii="Arial" w:hAnsi="Arial" w:cs="Arial"/>
        </w:rPr>
        <w:t xml:space="preserve"> to maximize the use of all equipment and furniture. The surplus </w:t>
      </w:r>
      <w:r>
        <w:rPr>
          <w:rFonts w:ascii="Arial" w:hAnsi="Arial" w:cs="Arial"/>
        </w:rPr>
        <w:t xml:space="preserve"> </w:t>
      </w:r>
    </w:p>
    <w:p w14:paraId="2F59AE4C" w14:textId="77777777" w:rsidR="009933C6" w:rsidRDefault="009933C6" w:rsidP="00004EED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04EED" w:rsidRPr="00B75E14">
        <w:rPr>
          <w:rFonts w:ascii="Arial" w:hAnsi="Arial" w:cs="Arial"/>
        </w:rPr>
        <w:t xml:space="preserve">disbursement/disposal procedures </w:t>
      </w:r>
      <w:r>
        <w:rPr>
          <w:rFonts w:ascii="Arial" w:hAnsi="Arial" w:cs="Arial"/>
        </w:rPr>
        <w:t>that</w:t>
      </w:r>
      <w:r w:rsidR="00004EED" w:rsidRPr="00B75E14">
        <w:rPr>
          <w:rFonts w:ascii="Arial" w:hAnsi="Arial" w:cs="Arial"/>
        </w:rPr>
        <w:t xml:space="preserve"> follow will ensure that the KCEMS &amp; TCC property </w:t>
      </w:r>
      <w:proofErr w:type="gramStart"/>
      <w:r w:rsidR="00004EED" w:rsidRPr="00B75E14">
        <w:rPr>
          <w:rFonts w:ascii="Arial" w:hAnsi="Arial" w:cs="Arial"/>
        </w:rPr>
        <w:t>has</w:t>
      </w:r>
      <w:proofErr w:type="gramEnd"/>
      <w:r w:rsidR="00004EED" w:rsidRPr="00B75E14">
        <w:rPr>
          <w:rFonts w:ascii="Arial" w:hAnsi="Arial" w:cs="Arial"/>
        </w:rPr>
        <w:t xml:space="preserve"> </w:t>
      </w:r>
    </w:p>
    <w:p w14:paraId="24C7E044" w14:textId="77777777" w:rsidR="009933C6" w:rsidRDefault="009933C6" w:rsidP="00004EED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04EED" w:rsidRPr="00B75E14">
        <w:rPr>
          <w:rFonts w:ascii="Arial" w:hAnsi="Arial" w:cs="Arial"/>
        </w:rPr>
        <w:t xml:space="preserve">provided a value beyond its worth and that its disbursement/disposal will be conducted in an </w:t>
      </w:r>
    </w:p>
    <w:p w14:paraId="17455A29" w14:textId="5E7A1C10" w:rsidR="000E4BE0" w:rsidRPr="00B75E14" w:rsidRDefault="009933C6" w:rsidP="00004EED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04EED" w:rsidRPr="00B75E14">
        <w:rPr>
          <w:rFonts w:ascii="Arial" w:hAnsi="Arial" w:cs="Arial"/>
        </w:rPr>
        <w:t>equitable, efficient, and cost-effective</w:t>
      </w:r>
      <w:r>
        <w:rPr>
          <w:rFonts w:ascii="Arial" w:hAnsi="Arial" w:cs="Arial"/>
        </w:rPr>
        <w:t xml:space="preserve"> </w:t>
      </w:r>
      <w:r w:rsidR="00004EED" w:rsidRPr="00B75E14">
        <w:rPr>
          <w:rFonts w:ascii="Arial" w:hAnsi="Arial" w:cs="Arial"/>
        </w:rPr>
        <w:t>manner.</w:t>
      </w:r>
    </w:p>
    <w:p w14:paraId="60B1EE4E" w14:textId="77777777" w:rsidR="00004EED" w:rsidRPr="00B75E14" w:rsidRDefault="00004EED" w:rsidP="00004EED">
      <w:pPr>
        <w:tabs>
          <w:tab w:val="left" w:pos="126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14:paraId="6BE89C0D" w14:textId="13D8725E" w:rsidR="00825910" w:rsidRDefault="0093466A" w:rsidP="00004EED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33C6">
        <w:rPr>
          <w:rFonts w:ascii="Arial" w:eastAsia="Times New Roman" w:hAnsi="Arial" w:cs="Arial"/>
          <w:b/>
          <w:bCs/>
          <w:sz w:val="24"/>
          <w:szCs w:val="24"/>
        </w:rPr>
        <w:t xml:space="preserve">   II.     </w:t>
      </w:r>
      <w:r w:rsidR="007A3E8F" w:rsidRPr="009933C6">
        <w:rPr>
          <w:rFonts w:ascii="Arial" w:eastAsia="Times New Roman" w:hAnsi="Arial" w:cs="Arial"/>
          <w:b/>
          <w:bCs/>
          <w:sz w:val="24"/>
          <w:szCs w:val="24"/>
        </w:rPr>
        <w:t>Policy:</w:t>
      </w:r>
    </w:p>
    <w:p w14:paraId="71A830ED" w14:textId="77777777" w:rsidR="009933C6" w:rsidRPr="009933C6" w:rsidRDefault="009933C6" w:rsidP="00004EED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1633BBE" w14:textId="77777777" w:rsidR="009933C6" w:rsidRDefault="0093466A" w:rsidP="00A53487">
      <w:pPr>
        <w:tabs>
          <w:tab w:val="left" w:pos="1260"/>
        </w:tabs>
        <w:spacing w:after="0" w:line="240" w:lineRule="auto"/>
        <w:ind w:left="1260" w:hanging="1260"/>
        <w:rPr>
          <w:rFonts w:ascii="Arial" w:hAnsi="Arial" w:cs="Arial"/>
        </w:rPr>
      </w:pPr>
      <w:r w:rsidRPr="00B75E14">
        <w:rPr>
          <w:rFonts w:ascii="Arial" w:eastAsia="Times New Roman" w:hAnsi="Arial" w:cs="Arial"/>
        </w:rPr>
        <w:t xml:space="preserve">            </w:t>
      </w:r>
      <w:r w:rsidR="00A53487" w:rsidRPr="00B75E14">
        <w:rPr>
          <w:rFonts w:ascii="Arial" w:hAnsi="Arial" w:cs="Arial"/>
        </w:rPr>
        <w:t xml:space="preserve">It is the KCEMS’ policy to receive the maximum amount of value from a piece of equipment or </w:t>
      </w:r>
    </w:p>
    <w:p w14:paraId="510018F9" w14:textId="77777777" w:rsidR="009933C6" w:rsidRDefault="009933C6" w:rsidP="00A53487">
      <w:pPr>
        <w:tabs>
          <w:tab w:val="left" w:pos="1260"/>
        </w:tabs>
        <w:spacing w:after="0" w:line="240" w:lineRule="auto"/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3487" w:rsidRPr="00B75E14">
        <w:rPr>
          <w:rFonts w:ascii="Arial" w:hAnsi="Arial" w:cs="Arial"/>
        </w:rPr>
        <w:t xml:space="preserve">furniture. When it has been determined that no further value is to be realized by the </w:t>
      </w:r>
      <w:r w:rsidR="00295CED" w:rsidRPr="00B75E14">
        <w:rPr>
          <w:rFonts w:ascii="Arial" w:hAnsi="Arial" w:cs="Arial"/>
        </w:rPr>
        <w:t xml:space="preserve">Office </w:t>
      </w:r>
    </w:p>
    <w:p w14:paraId="7A790EDE" w14:textId="2754BDBC" w:rsidR="009933C6" w:rsidRDefault="009933C6" w:rsidP="00A53487">
      <w:pPr>
        <w:tabs>
          <w:tab w:val="left" w:pos="1260"/>
        </w:tabs>
        <w:spacing w:after="0" w:line="240" w:lineRule="auto"/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95CED" w:rsidRPr="00B75E14">
        <w:rPr>
          <w:rFonts w:ascii="Arial" w:hAnsi="Arial" w:cs="Arial"/>
        </w:rPr>
        <w:t>Administrator</w:t>
      </w:r>
      <w:r w:rsidR="00A53487" w:rsidRPr="00B75E14">
        <w:rPr>
          <w:rFonts w:ascii="Arial" w:hAnsi="Arial" w:cs="Arial"/>
        </w:rPr>
        <w:t xml:space="preserve"> through</w:t>
      </w:r>
      <w:r w:rsidR="00295CED" w:rsidRPr="00B75E14">
        <w:rPr>
          <w:rFonts w:ascii="Arial" w:hAnsi="Arial" w:cs="Arial"/>
        </w:rPr>
        <w:t xml:space="preserve"> the </w:t>
      </w:r>
      <w:r w:rsidR="00A53487" w:rsidRPr="00B75E14">
        <w:rPr>
          <w:rFonts w:ascii="Arial" w:hAnsi="Arial" w:cs="Arial"/>
        </w:rPr>
        <w:t xml:space="preserve">utilization of a particular piece of equipment or furniture said item shall </w:t>
      </w:r>
    </w:p>
    <w:p w14:paraId="75C7E6A8" w14:textId="0D937B8A" w:rsidR="009933C6" w:rsidRDefault="009933C6" w:rsidP="00A53487">
      <w:pPr>
        <w:tabs>
          <w:tab w:val="left" w:pos="1260"/>
        </w:tabs>
        <w:spacing w:after="0" w:line="240" w:lineRule="auto"/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3487" w:rsidRPr="00B75E14">
        <w:rPr>
          <w:rFonts w:ascii="Arial" w:hAnsi="Arial" w:cs="Arial"/>
        </w:rPr>
        <w:t>be declared surplus. Onc</w:t>
      </w:r>
      <w:r w:rsidR="00295CED" w:rsidRPr="00B75E14">
        <w:rPr>
          <w:rFonts w:ascii="Arial" w:hAnsi="Arial" w:cs="Arial"/>
        </w:rPr>
        <w:t xml:space="preserve">e </w:t>
      </w:r>
      <w:r w:rsidR="00A53487" w:rsidRPr="00B75E14">
        <w:rPr>
          <w:rFonts w:ascii="Arial" w:hAnsi="Arial" w:cs="Arial"/>
        </w:rPr>
        <w:t xml:space="preserve">declared surplus, items will be disposed of as </w:t>
      </w:r>
      <w:r w:rsidR="00295CED" w:rsidRPr="00B75E14">
        <w:rPr>
          <w:rFonts w:ascii="Arial" w:hAnsi="Arial" w:cs="Arial"/>
        </w:rPr>
        <w:t>outlined</w:t>
      </w:r>
      <w:r w:rsidR="00A53487" w:rsidRPr="00B75E14">
        <w:rPr>
          <w:rFonts w:ascii="Arial" w:hAnsi="Arial" w:cs="Arial"/>
        </w:rPr>
        <w:t xml:space="preserve"> in the </w:t>
      </w:r>
    </w:p>
    <w:p w14:paraId="65075BD4" w14:textId="77777777" w:rsidR="009933C6" w:rsidRDefault="009933C6" w:rsidP="00A53487">
      <w:pPr>
        <w:tabs>
          <w:tab w:val="left" w:pos="1260"/>
        </w:tabs>
        <w:spacing w:after="0" w:line="240" w:lineRule="auto"/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3487" w:rsidRPr="00B75E14">
        <w:rPr>
          <w:rFonts w:ascii="Arial" w:hAnsi="Arial" w:cs="Arial"/>
        </w:rPr>
        <w:t xml:space="preserve">following procedures. The </w:t>
      </w:r>
      <w:r w:rsidR="00295CED" w:rsidRPr="00B75E14">
        <w:rPr>
          <w:rFonts w:ascii="Arial" w:hAnsi="Arial" w:cs="Arial"/>
        </w:rPr>
        <w:t xml:space="preserve">KCEMS Office </w:t>
      </w:r>
      <w:r w:rsidR="00A53487" w:rsidRPr="00B75E14">
        <w:rPr>
          <w:rFonts w:ascii="Arial" w:hAnsi="Arial" w:cs="Arial"/>
        </w:rPr>
        <w:t xml:space="preserve">Assistant has the primary responsibility to monitor </w:t>
      </w:r>
    </w:p>
    <w:p w14:paraId="687A9D08" w14:textId="436360C3" w:rsidR="00A81E67" w:rsidRPr="00B75E14" w:rsidRDefault="009933C6" w:rsidP="00A53487">
      <w:pPr>
        <w:tabs>
          <w:tab w:val="left" w:pos="1260"/>
        </w:tabs>
        <w:spacing w:after="0" w:line="240" w:lineRule="auto"/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3487" w:rsidRPr="00B75E14">
        <w:rPr>
          <w:rFonts w:ascii="Arial" w:hAnsi="Arial" w:cs="Arial"/>
        </w:rPr>
        <w:t>compliance with this policy</w:t>
      </w:r>
    </w:p>
    <w:p w14:paraId="1F892E4C" w14:textId="77777777" w:rsidR="00295CED" w:rsidRPr="00B75E14" w:rsidRDefault="00295CED" w:rsidP="00A53487">
      <w:pPr>
        <w:tabs>
          <w:tab w:val="left" w:pos="1260"/>
        </w:tabs>
        <w:spacing w:after="0" w:line="240" w:lineRule="auto"/>
        <w:ind w:left="1260" w:hanging="1260"/>
        <w:rPr>
          <w:rFonts w:ascii="Arial" w:eastAsia="Times New Roman" w:hAnsi="Arial" w:cs="Arial"/>
        </w:rPr>
      </w:pPr>
    </w:p>
    <w:p w14:paraId="48BD5B21" w14:textId="301B6BCA" w:rsidR="00825910" w:rsidRDefault="0093466A" w:rsidP="00004EED">
      <w:pPr>
        <w:tabs>
          <w:tab w:val="left" w:pos="1260"/>
        </w:tabs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33C6">
        <w:rPr>
          <w:rFonts w:ascii="Arial" w:eastAsia="Times New Roman" w:hAnsi="Arial" w:cs="Arial"/>
          <w:b/>
          <w:bCs/>
          <w:sz w:val="24"/>
          <w:szCs w:val="24"/>
        </w:rPr>
        <w:t xml:space="preserve">  III.   </w:t>
      </w:r>
      <w:r w:rsidR="007F5771" w:rsidRPr="009933C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933C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25910" w:rsidRPr="009933C6">
        <w:rPr>
          <w:rFonts w:ascii="Arial" w:eastAsia="Times New Roman" w:hAnsi="Arial" w:cs="Arial"/>
          <w:b/>
          <w:bCs/>
          <w:sz w:val="24"/>
          <w:szCs w:val="24"/>
        </w:rPr>
        <w:t>Procedure:</w:t>
      </w:r>
    </w:p>
    <w:p w14:paraId="3F71548B" w14:textId="7A8FD847" w:rsidR="0049367A" w:rsidRDefault="009A104E" w:rsidP="009A104E">
      <w:pPr>
        <w:tabs>
          <w:tab w:val="left" w:pos="1260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 xml:space="preserve">           </w:t>
      </w:r>
      <w:r w:rsidR="00B75E14" w:rsidRPr="009A104E">
        <w:rPr>
          <w:rFonts w:ascii="Arial" w:hAnsi="Arial" w:cs="Arial"/>
          <w:b/>
          <w:bCs/>
        </w:rPr>
        <w:t xml:space="preserve">1. </w:t>
      </w:r>
      <w:r w:rsidR="00B75E14" w:rsidRPr="00C52B49">
        <w:rPr>
          <w:rFonts w:ascii="Arial" w:hAnsi="Arial" w:cs="Arial"/>
          <w:b/>
          <w:bCs/>
          <w:sz w:val="24"/>
          <w:szCs w:val="24"/>
        </w:rPr>
        <w:t>Surplus Declaration Process</w:t>
      </w:r>
      <w:r w:rsidR="00B75E14" w:rsidRPr="009A104E">
        <w:rPr>
          <w:rFonts w:ascii="Arial" w:hAnsi="Arial" w:cs="Arial"/>
          <w:b/>
          <w:bCs/>
        </w:rPr>
        <w:t xml:space="preserve"> </w:t>
      </w:r>
    </w:p>
    <w:p w14:paraId="597FF646" w14:textId="7987DF3E" w:rsidR="009A104E" w:rsidRDefault="00AD408A" w:rsidP="009A104E">
      <w:pPr>
        <w:tabs>
          <w:tab w:val="left" w:pos="12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 w:rsidR="00B75E14" w:rsidRPr="00B75E14">
        <w:rPr>
          <w:rFonts w:ascii="Arial" w:hAnsi="Arial" w:cs="Arial"/>
        </w:rPr>
        <w:t xml:space="preserve">When it is determined by the user that an item has served its original purpose </w:t>
      </w:r>
    </w:p>
    <w:p w14:paraId="34BC8545" w14:textId="43801C02" w:rsidR="009A104E" w:rsidRDefault="009A104E" w:rsidP="009A104E">
      <w:pPr>
        <w:tabs>
          <w:tab w:val="left" w:pos="126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  <w:r w:rsidR="00B75E14" w:rsidRPr="00B75E14">
        <w:rPr>
          <w:rFonts w:ascii="Arial" w:hAnsi="Arial" w:cs="Arial"/>
        </w:rPr>
        <w:t xml:space="preserve">and no longer provides value to the department, this item shall be slated for determination of </w:t>
      </w:r>
      <w:r>
        <w:rPr>
          <w:rFonts w:ascii="Arial" w:hAnsi="Arial" w:cs="Arial"/>
        </w:rPr>
        <w:t xml:space="preserve"> </w:t>
      </w:r>
    </w:p>
    <w:p w14:paraId="6DFFEFA2" w14:textId="2400850B" w:rsidR="00C52B49" w:rsidRDefault="00B75E14" w:rsidP="00AD408A">
      <w:pPr>
        <w:pStyle w:val="Heading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B75E14">
        <w:rPr>
          <w:rFonts w:ascii="Arial" w:hAnsi="Arial" w:cs="Arial"/>
          <w:b w:val="0"/>
          <w:bCs w:val="0"/>
          <w:sz w:val="22"/>
          <w:szCs w:val="22"/>
        </w:rPr>
        <w:t xml:space="preserve">eligibility for the surplus disbursement/disposal program. </w:t>
      </w:r>
      <w:r w:rsidR="00AD408A">
        <w:rPr>
          <w:rFonts w:ascii="Arial" w:hAnsi="Arial" w:cs="Arial"/>
          <w:b w:val="0"/>
          <w:bCs w:val="0"/>
          <w:sz w:val="22"/>
          <w:szCs w:val="22"/>
        </w:rPr>
        <w:t xml:space="preserve">A list of eligible items to be </w:t>
      </w:r>
      <w:proofErr w:type="spellStart"/>
      <w:r w:rsidR="00AD408A">
        <w:rPr>
          <w:rFonts w:ascii="Arial" w:hAnsi="Arial" w:cs="Arial"/>
          <w:b w:val="0"/>
          <w:bCs w:val="0"/>
          <w:sz w:val="22"/>
          <w:szCs w:val="22"/>
        </w:rPr>
        <w:t>surplused</w:t>
      </w:r>
      <w:proofErr w:type="spellEnd"/>
      <w:r w:rsidR="00DE3662">
        <w:rPr>
          <w:rFonts w:ascii="Arial" w:hAnsi="Arial" w:cs="Arial"/>
          <w:b w:val="0"/>
          <w:bCs w:val="0"/>
          <w:sz w:val="22"/>
          <w:szCs w:val="22"/>
        </w:rPr>
        <w:t>/disposed of,</w:t>
      </w:r>
      <w:r w:rsidR="00AD408A">
        <w:rPr>
          <w:rFonts w:ascii="Arial" w:hAnsi="Arial" w:cs="Arial"/>
          <w:b w:val="0"/>
          <w:bCs w:val="0"/>
          <w:sz w:val="22"/>
          <w:szCs w:val="22"/>
        </w:rPr>
        <w:t xml:space="preserve"> will be kept</w:t>
      </w:r>
      <w:r w:rsidR="00DE3662">
        <w:rPr>
          <w:rFonts w:ascii="Arial" w:hAnsi="Arial" w:cs="Arial"/>
          <w:b w:val="0"/>
          <w:bCs w:val="0"/>
          <w:sz w:val="22"/>
          <w:szCs w:val="22"/>
        </w:rPr>
        <w:t xml:space="preserve"> by the Office Administrator.  P</w:t>
      </w:r>
      <w:r w:rsidR="00AD408A">
        <w:rPr>
          <w:rFonts w:ascii="Arial" w:hAnsi="Arial" w:cs="Arial"/>
          <w:b w:val="0"/>
          <w:bCs w:val="0"/>
          <w:sz w:val="22"/>
          <w:szCs w:val="22"/>
        </w:rPr>
        <w:t>eriodically as needed</w:t>
      </w:r>
      <w:r w:rsidR="00DE3662">
        <w:rPr>
          <w:rFonts w:ascii="Arial" w:hAnsi="Arial" w:cs="Arial"/>
          <w:b w:val="0"/>
          <w:bCs w:val="0"/>
          <w:sz w:val="22"/>
          <w:szCs w:val="22"/>
        </w:rPr>
        <w:t>, the list will be added</w:t>
      </w:r>
      <w:r w:rsidR="00AD408A">
        <w:rPr>
          <w:rFonts w:ascii="Arial" w:hAnsi="Arial" w:cs="Arial"/>
          <w:b w:val="0"/>
          <w:bCs w:val="0"/>
          <w:sz w:val="22"/>
          <w:szCs w:val="22"/>
        </w:rPr>
        <w:t xml:space="preserve"> to the KCEMS Council</w:t>
      </w:r>
      <w:r w:rsidR="00DE3662">
        <w:rPr>
          <w:rFonts w:ascii="Arial" w:hAnsi="Arial" w:cs="Arial"/>
          <w:b w:val="0"/>
          <w:bCs w:val="0"/>
          <w:sz w:val="22"/>
          <w:szCs w:val="22"/>
        </w:rPr>
        <w:t xml:space="preserve"> agenda for consideration</w:t>
      </w:r>
      <w:r w:rsidR="00AD408A">
        <w:rPr>
          <w:rFonts w:ascii="Arial" w:hAnsi="Arial" w:cs="Arial"/>
          <w:b w:val="0"/>
          <w:bCs w:val="0"/>
          <w:sz w:val="22"/>
          <w:szCs w:val="22"/>
        </w:rPr>
        <w:t xml:space="preserve">. The list will be approved for surplus/disposal at the respective meeting through a motion and vote.  </w:t>
      </w:r>
    </w:p>
    <w:p w14:paraId="5A4C2B42" w14:textId="77777777" w:rsidR="00C52B49" w:rsidRPr="00C52B49" w:rsidRDefault="00C52B49" w:rsidP="00C52B49"/>
    <w:p w14:paraId="22C317E1" w14:textId="77777777" w:rsidR="009933C6" w:rsidRDefault="009933C6" w:rsidP="009A104E">
      <w:pPr>
        <w:pStyle w:val="Heading1"/>
        <w:numPr>
          <w:ilvl w:val="0"/>
          <w:numId w:val="0"/>
        </w:numPr>
        <w:spacing w:before="0" w:after="0"/>
        <w:ind w:firstLine="720"/>
        <w:rPr>
          <w:rFonts w:ascii="Arial" w:hAnsi="Arial" w:cs="Arial"/>
          <w:sz w:val="24"/>
          <w:szCs w:val="24"/>
        </w:rPr>
      </w:pPr>
    </w:p>
    <w:p w14:paraId="5D00195E" w14:textId="666A9AD7" w:rsidR="00C52B49" w:rsidRDefault="00B75E14" w:rsidP="009A104E">
      <w:pPr>
        <w:pStyle w:val="Heading1"/>
        <w:numPr>
          <w:ilvl w:val="0"/>
          <w:numId w:val="0"/>
        </w:numPr>
        <w:spacing w:before="0" w:after="0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 w:rsidRPr="00C52B49">
        <w:rPr>
          <w:rFonts w:ascii="Arial" w:hAnsi="Arial" w:cs="Arial"/>
          <w:sz w:val="24"/>
          <w:szCs w:val="24"/>
        </w:rPr>
        <w:t>2. Surplus Disbursement/Disposal Program</w:t>
      </w:r>
      <w:r w:rsidRPr="00B75E1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7FCA9EA" w14:textId="77777777" w:rsidR="00CE5651" w:rsidRDefault="00C52B49" w:rsidP="009A104E">
      <w:pPr>
        <w:pStyle w:val="Heading1"/>
        <w:numPr>
          <w:ilvl w:val="0"/>
          <w:numId w:val="0"/>
        </w:numPr>
        <w:spacing w:before="0" w:after="0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proofErr w:type="spellStart"/>
      <w:r w:rsidRPr="00CE5651">
        <w:rPr>
          <w:rFonts w:ascii="Arial" w:hAnsi="Arial" w:cs="Arial"/>
          <w:sz w:val="22"/>
          <w:szCs w:val="22"/>
        </w:rPr>
        <w:t>A</w:t>
      </w:r>
      <w:r w:rsidR="00B75E14" w:rsidRPr="00CE5651">
        <w:rPr>
          <w:rFonts w:ascii="Arial" w:hAnsi="Arial" w:cs="Arial"/>
          <w:sz w:val="22"/>
          <w:szCs w:val="22"/>
        </w:rPr>
        <w:t>.Sale</w:t>
      </w:r>
      <w:proofErr w:type="spellEnd"/>
      <w:r w:rsidR="00B75E14" w:rsidRPr="00CE5651">
        <w:rPr>
          <w:rFonts w:ascii="Arial" w:hAnsi="Arial" w:cs="Arial"/>
          <w:sz w:val="22"/>
          <w:szCs w:val="22"/>
        </w:rPr>
        <w:t xml:space="preserve"> Process</w:t>
      </w:r>
      <w:r w:rsidR="00B75E14" w:rsidRPr="00B75E1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48C18FA" w14:textId="64D2B543" w:rsidR="009268A5" w:rsidRDefault="00CE5651" w:rsidP="00E07C01">
      <w:pPr>
        <w:pStyle w:val="Heading1"/>
        <w:numPr>
          <w:ilvl w:val="0"/>
          <w:numId w:val="0"/>
        </w:numPr>
        <w:spacing w:before="0" w:after="0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 w:rsidR="009933C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75E14" w:rsidRPr="00B75E14">
        <w:rPr>
          <w:rFonts w:ascii="Arial" w:hAnsi="Arial" w:cs="Arial"/>
          <w:b w:val="0"/>
          <w:bCs w:val="0"/>
          <w:sz w:val="22"/>
          <w:szCs w:val="22"/>
        </w:rPr>
        <w:t>1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  <w:r w:rsidR="00B75E14" w:rsidRPr="00B75E1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15392">
        <w:rPr>
          <w:rFonts w:ascii="Arial" w:hAnsi="Arial" w:cs="Arial"/>
          <w:b w:val="0"/>
          <w:bCs w:val="0"/>
          <w:sz w:val="22"/>
          <w:szCs w:val="22"/>
        </w:rPr>
        <w:t xml:space="preserve">The Office Assistant may choose to list surplus items for sale on a surplus site </w:t>
      </w:r>
      <w:r w:rsidR="00E07C01">
        <w:rPr>
          <w:rFonts w:ascii="Arial" w:hAnsi="Arial" w:cs="Arial"/>
          <w:b w:val="0"/>
          <w:bCs w:val="0"/>
          <w:sz w:val="22"/>
          <w:szCs w:val="22"/>
        </w:rPr>
        <w:t xml:space="preserve">that best </w:t>
      </w:r>
      <w:r w:rsidR="009268A5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</w:p>
    <w:p w14:paraId="6A8CC8E8" w14:textId="1BDD227A" w:rsidR="00E07C01" w:rsidRDefault="009268A5" w:rsidP="00E07C01">
      <w:pPr>
        <w:pStyle w:val="Heading1"/>
        <w:numPr>
          <w:ilvl w:val="0"/>
          <w:numId w:val="0"/>
        </w:numPr>
        <w:spacing w:before="0" w:after="0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</w:t>
      </w:r>
      <w:r w:rsidR="00E07C01">
        <w:rPr>
          <w:rFonts w:ascii="Arial" w:hAnsi="Arial" w:cs="Arial"/>
          <w:b w:val="0"/>
          <w:bCs w:val="0"/>
          <w:sz w:val="22"/>
          <w:szCs w:val="22"/>
        </w:rPr>
        <w:t xml:space="preserve">fits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the equipment being </w:t>
      </w:r>
      <w:r w:rsidR="00B62974">
        <w:rPr>
          <w:rFonts w:ascii="Arial" w:hAnsi="Arial" w:cs="Arial"/>
          <w:b w:val="0"/>
          <w:bCs w:val="0"/>
          <w:sz w:val="22"/>
          <w:szCs w:val="22"/>
        </w:rPr>
        <w:t>sold</w:t>
      </w:r>
      <w:r w:rsidR="00E07C0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4F59EBD2" w14:textId="0280AD6D" w:rsidR="00E4755B" w:rsidRDefault="009268A5" w:rsidP="00E4755B">
      <w:pPr>
        <w:pStyle w:val="Heading1"/>
        <w:numPr>
          <w:ilvl w:val="0"/>
          <w:numId w:val="0"/>
        </w:numPr>
        <w:spacing w:before="0" w:after="0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  <w:r w:rsidR="009933C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75E14" w:rsidRPr="00B75E14">
        <w:rPr>
          <w:rFonts w:ascii="Arial" w:hAnsi="Arial" w:cs="Arial"/>
          <w:b w:val="0"/>
          <w:bCs w:val="0"/>
          <w:sz w:val="22"/>
          <w:szCs w:val="22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75E14" w:rsidRPr="00B75E14">
        <w:rPr>
          <w:rFonts w:ascii="Arial" w:hAnsi="Arial" w:cs="Arial"/>
          <w:b w:val="0"/>
          <w:bCs w:val="0"/>
          <w:sz w:val="22"/>
          <w:szCs w:val="22"/>
        </w:rPr>
        <w:t xml:space="preserve">Proceeds will be deposited in the </w:t>
      </w:r>
      <w:r>
        <w:rPr>
          <w:rFonts w:ascii="Arial" w:hAnsi="Arial" w:cs="Arial"/>
          <w:b w:val="0"/>
          <w:bCs w:val="0"/>
          <w:sz w:val="22"/>
          <w:szCs w:val="22"/>
        </w:rPr>
        <w:t>KCEMS</w:t>
      </w:r>
      <w:r w:rsidR="006E43D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4755B">
        <w:rPr>
          <w:rFonts w:ascii="Arial" w:hAnsi="Arial" w:cs="Arial"/>
          <w:b w:val="0"/>
          <w:bCs w:val="0"/>
          <w:sz w:val="22"/>
          <w:szCs w:val="22"/>
        </w:rPr>
        <w:t>checking account under the appropriate line</w:t>
      </w:r>
    </w:p>
    <w:p w14:paraId="70A0AC0F" w14:textId="1D89D929" w:rsidR="006E43DB" w:rsidRDefault="00E4755B" w:rsidP="00E4755B">
      <w:pPr>
        <w:pStyle w:val="Heading1"/>
        <w:numPr>
          <w:ilvl w:val="0"/>
          <w:numId w:val="0"/>
        </w:numPr>
        <w:spacing w:before="0" w:after="0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</w:t>
      </w:r>
      <w:r w:rsidR="009933C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item in the budget.</w:t>
      </w:r>
    </w:p>
    <w:p w14:paraId="2A90E3FD" w14:textId="69D83D55" w:rsidR="006E43DB" w:rsidRPr="00B75E14" w:rsidRDefault="006E43DB" w:rsidP="006E43DB">
      <w:pPr>
        <w:pStyle w:val="Heading1"/>
        <w:numPr>
          <w:ilvl w:val="0"/>
          <w:numId w:val="0"/>
        </w:numPr>
        <w:spacing w:before="0" w:after="0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</w:p>
    <w:p w14:paraId="2DC83271" w14:textId="2CDBBDC9" w:rsidR="00A3362A" w:rsidRDefault="00A3362A" w:rsidP="009A104E">
      <w:pPr>
        <w:pStyle w:val="Heading1"/>
        <w:numPr>
          <w:ilvl w:val="0"/>
          <w:numId w:val="0"/>
        </w:numPr>
        <w:spacing w:before="0" w:after="0"/>
        <w:ind w:firstLine="720"/>
        <w:rPr>
          <w:rFonts w:ascii="Arial" w:hAnsi="Arial" w:cs="Arial"/>
          <w:b w:val="0"/>
          <w:bCs w:val="0"/>
          <w:sz w:val="22"/>
          <w:szCs w:val="22"/>
        </w:rPr>
      </w:pPr>
    </w:p>
    <w:p w14:paraId="050C865E" w14:textId="77777777" w:rsidR="006E43DB" w:rsidRPr="006E43DB" w:rsidRDefault="006E43DB" w:rsidP="006E43DB"/>
    <w:sectPr w:rsidR="006E43DB" w:rsidRPr="006E43DB" w:rsidSect="00B02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9C8F" w14:textId="77777777" w:rsidR="00B05370" w:rsidRDefault="00B05370" w:rsidP="00183C55">
      <w:pPr>
        <w:spacing w:after="0" w:line="240" w:lineRule="auto"/>
      </w:pPr>
      <w:r>
        <w:separator/>
      </w:r>
    </w:p>
  </w:endnote>
  <w:endnote w:type="continuationSeparator" w:id="0">
    <w:p w14:paraId="20D291F5" w14:textId="77777777" w:rsidR="00B05370" w:rsidRDefault="00B05370" w:rsidP="0018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D81C" w14:textId="77777777" w:rsidR="00686208" w:rsidRDefault="00686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402331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05847A5E" w14:textId="6AB36D9E" w:rsidR="00B96CDC" w:rsidRPr="00B96CDC" w:rsidRDefault="00422609" w:rsidP="009C1D9B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Lato" w:hAnsi="Lato"/>
            <w:i/>
            <w:iCs/>
            <w:color w:val="7F7F7F" w:themeColor="background1" w:themeShade="7F"/>
            <w:sz w:val="18"/>
            <w:szCs w:val="18"/>
          </w:rPr>
          <w:t>Office Surplus Policy</w:t>
        </w:r>
        <w:r w:rsidR="00B96CDC">
          <w:t xml:space="preserve"> |                                                                                                                     </w:t>
        </w:r>
      </w:p>
    </w:sdtContent>
  </w:sdt>
  <w:p w14:paraId="6BA432FC" w14:textId="79BECF8A" w:rsidR="00183C55" w:rsidRDefault="00183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075C" w14:textId="77777777" w:rsidR="00686208" w:rsidRDefault="00686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CAA3" w14:textId="77777777" w:rsidR="00B05370" w:rsidRDefault="00B05370" w:rsidP="00183C55">
      <w:pPr>
        <w:spacing w:after="0" w:line="240" w:lineRule="auto"/>
      </w:pPr>
      <w:r>
        <w:separator/>
      </w:r>
    </w:p>
  </w:footnote>
  <w:footnote w:type="continuationSeparator" w:id="0">
    <w:p w14:paraId="6BC5E1DC" w14:textId="77777777" w:rsidR="00B05370" w:rsidRDefault="00B05370" w:rsidP="0018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7928" w14:textId="77777777" w:rsidR="00686208" w:rsidRDefault="00686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8836" w14:textId="77777777" w:rsidR="006D6FDB" w:rsidRDefault="5C0E4F9F" w:rsidP="7A48AB64">
    <w:pPr>
      <w:pStyle w:val="Header"/>
      <w:jc w:val="center"/>
      <w:rPr>
        <w:rFonts w:ascii="Lato" w:hAnsi="Lato"/>
        <w:sz w:val="28"/>
        <w:szCs w:val="28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4E742518" wp14:editId="056A2689">
          <wp:simplePos x="0" y="0"/>
          <wp:positionH relativeFrom="margin">
            <wp:posOffset>134620</wp:posOffset>
          </wp:positionH>
          <wp:positionV relativeFrom="paragraph">
            <wp:posOffset>-160020</wp:posOffset>
          </wp:positionV>
          <wp:extent cx="985520" cy="913765"/>
          <wp:effectExtent l="76200" t="76200" r="138430" b="133985"/>
          <wp:wrapTight wrapText="bothSides">
            <wp:wrapPolygon edited="0">
              <wp:start x="-835" y="-1801"/>
              <wp:lineTo x="-1670" y="-1351"/>
              <wp:lineTo x="-1670" y="22516"/>
              <wp:lineTo x="-835" y="24317"/>
              <wp:lineTo x="23381" y="24317"/>
              <wp:lineTo x="24216" y="20714"/>
              <wp:lineTo x="24216" y="5854"/>
              <wp:lineTo x="23381" y="-901"/>
              <wp:lineTo x="23381" y="-1801"/>
              <wp:lineTo x="-835" y="-1801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91376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3849FF2" w:rsidRPr="5C0E4F9F">
      <w:rPr>
        <w:rFonts w:ascii="Lato" w:hAnsi="Lato"/>
        <w:sz w:val="28"/>
        <w:szCs w:val="28"/>
      </w:rPr>
      <w:t xml:space="preserve">                                </w:t>
    </w:r>
  </w:p>
  <w:p w14:paraId="67CD6FE5" w14:textId="77777777" w:rsidR="006D6FDB" w:rsidRPr="00825910" w:rsidRDefault="006D6FDB" w:rsidP="7A48AB64">
    <w:pPr>
      <w:pStyle w:val="Header"/>
      <w:jc w:val="center"/>
      <w:rPr>
        <w:rFonts w:ascii="Arial" w:hAnsi="Arial" w:cs="Arial"/>
        <w:sz w:val="32"/>
        <w:szCs w:val="32"/>
      </w:rPr>
    </w:pPr>
  </w:p>
  <w:p w14:paraId="464BE4EA" w14:textId="46F0E1B2" w:rsidR="007E7232" w:rsidRPr="00825910" w:rsidRDefault="00422609" w:rsidP="00B0429E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Office Surplus Policy</w:t>
    </w:r>
  </w:p>
  <w:p w14:paraId="7F6A8F74" w14:textId="2962971C" w:rsidR="5C0E4F9F" w:rsidRDefault="00B0429E" w:rsidP="00B0429E">
    <w:pPr>
      <w:pStyle w:val="Header"/>
      <w:jc w:val="right"/>
      <w:rPr>
        <w:rFonts w:ascii="Lato" w:hAnsi="Lato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1BC39" wp14:editId="53DA6C21">
              <wp:simplePos x="0" y="0"/>
              <wp:positionH relativeFrom="column">
                <wp:posOffset>-161620</wp:posOffset>
              </wp:positionH>
              <wp:positionV relativeFrom="paragraph">
                <wp:posOffset>238227</wp:posOffset>
              </wp:positionV>
              <wp:extent cx="6798716" cy="40309"/>
              <wp:effectExtent l="19050" t="19050" r="21590" b="361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8716" cy="40309"/>
                      </a:xfrm>
                      <a:prstGeom prst="line">
                        <a:avLst/>
                      </a:prstGeom>
                      <a:ln w="38100">
                        <a:solidFill>
                          <a:srgbClr val="2542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7C97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8.75pt" to="522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" strokecolor="#254275" strokeweight="3pt">
              <v:stroke joinstyle="miter"/>
            </v:line>
          </w:pict>
        </mc:Fallback>
      </mc:AlternateContent>
    </w:r>
    <w:r w:rsidR="7A48AB64" w:rsidRPr="7A48AB64">
      <w:rPr>
        <w:rFonts w:ascii="Lato" w:hAnsi="Lato"/>
        <w:sz w:val="28"/>
        <w:szCs w:val="28"/>
      </w:rPr>
      <w:t xml:space="preserve">                                                                </w:t>
    </w:r>
  </w:p>
  <w:p w14:paraId="33A79DD2" w14:textId="7F4ED172" w:rsidR="00183C55" w:rsidRDefault="00183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8043" w14:textId="77777777" w:rsidR="00686208" w:rsidRDefault="00686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5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Lato" w:hAnsi="Lato" w:cs="La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  <w:rPr>
        <w:rFonts w:ascii="Lato" w:hAnsi="Lato" w:cs="Lato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9D82EA7"/>
    <w:multiLevelType w:val="hybridMultilevel"/>
    <w:tmpl w:val="EDC655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6E9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TY0NTE2NrM0NjVS0lEKTi0uzszPAykwNKkFABn+WZQtAAAA"/>
  </w:docVars>
  <w:rsids>
    <w:rsidRoot w:val="00383178"/>
    <w:rsid w:val="0000197C"/>
    <w:rsid w:val="00004EED"/>
    <w:rsid w:val="000161E3"/>
    <w:rsid w:val="0007448B"/>
    <w:rsid w:val="000B044D"/>
    <w:rsid w:val="000B37A9"/>
    <w:rsid w:val="000C10EC"/>
    <w:rsid w:val="000C2EF8"/>
    <w:rsid w:val="000D0861"/>
    <w:rsid w:val="000E4BE0"/>
    <w:rsid w:val="000E553B"/>
    <w:rsid w:val="000F4671"/>
    <w:rsid w:val="000F4D67"/>
    <w:rsid w:val="000F7DDC"/>
    <w:rsid w:val="00100DB5"/>
    <w:rsid w:val="0011719D"/>
    <w:rsid w:val="001220AE"/>
    <w:rsid w:val="001233C2"/>
    <w:rsid w:val="00137B9C"/>
    <w:rsid w:val="00151F45"/>
    <w:rsid w:val="00154155"/>
    <w:rsid w:val="00154616"/>
    <w:rsid w:val="001573D0"/>
    <w:rsid w:val="001663F9"/>
    <w:rsid w:val="00183C55"/>
    <w:rsid w:val="001B3ACA"/>
    <w:rsid w:val="001D33B0"/>
    <w:rsid w:val="001D3465"/>
    <w:rsid w:val="001D738F"/>
    <w:rsid w:val="001F1C1E"/>
    <w:rsid w:val="00207F97"/>
    <w:rsid w:val="002105E4"/>
    <w:rsid w:val="00231D66"/>
    <w:rsid w:val="00251CE0"/>
    <w:rsid w:val="002541C5"/>
    <w:rsid w:val="002760E6"/>
    <w:rsid w:val="002816D2"/>
    <w:rsid w:val="002823A5"/>
    <w:rsid w:val="002866C7"/>
    <w:rsid w:val="00295542"/>
    <w:rsid w:val="002959B8"/>
    <w:rsid w:val="00295CED"/>
    <w:rsid w:val="002970ED"/>
    <w:rsid w:val="002C6D81"/>
    <w:rsid w:val="002D4A51"/>
    <w:rsid w:val="002D4D60"/>
    <w:rsid w:val="002E3009"/>
    <w:rsid w:val="002E5B2C"/>
    <w:rsid w:val="002E5B69"/>
    <w:rsid w:val="002F7B47"/>
    <w:rsid w:val="0030613F"/>
    <w:rsid w:val="00327CAF"/>
    <w:rsid w:val="00340B25"/>
    <w:rsid w:val="0034750C"/>
    <w:rsid w:val="003514EE"/>
    <w:rsid w:val="00351B3D"/>
    <w:rsid w:val="00354B4F"/>
    <w:rsid w:val="003648CA"/>
    <w:rsid w:val="00364B42"/>
    <w:rsid w:val="00364CD0"/>
    <w:rsid w:val="003721A3"/>
    <w:rsid w:val="00383178"/>
    <w:rsid w:val="003A3367"/>
    <w:rsid w:val="003C03CE"/>
    <w:rsid w:val="003E6A54"/>
    <w:rsid w:val="003F5803"/>
    <w:rsid w:val="004211A0"/>
    <w:rsid w:val="00421348"/>
    <w:rsid w:val="00421C00"/>
    <w:rsid w:val="00422609"/>
    <w:rsid w:val="0043407D"/>
    <w:rsid w:val="00436F44"/>
    <w:rsid w:val="00441D5F"/>
    <w:rsid w:val="00461587"/>
    <w:rsid w:val="00462D8F"/>
    <w:rsid w:val="00471EA4"/>
    <w:rsid w:val="004728D2"/>
    <w:rsid w:val="00473D9B"/>
    <w:rsid w:val="00485BF4"/>
    <w:rsid w:val="004910E3"/>
    <w:rsid w:val="0049367A"/>
    <w:rsid w:val="0049648C"/>
    <w:rsid w:val="004A1DAE"/>
    <w:rsid w:val="004B034F"/>
    <w:rsid w:val="004D3D49"/>
    <w:rsid w:val="004F5403"/>
    <w:rsid w:val="00501AAB"/>
    <w:rsid w:val="00507B2B"/>
    <w:rsid w:val="0053746E"/>
    <w:rsid w:val="00537B32"/>
    <w:rsid w:val="005454E7"/>
    <w:rsid w:val="00550649"/>
    <w:rsid w:val="00554905"/>
    <w:rsid w:val="00557956"/>
    <w:rsid w:val="00560E08"/>
    <w:rsid w:val="00574FA2"/>
    <w:rsid w:val="0058790B"/>
    <w:rsid w:val="00590B1E"/>
    <w:rsid w:val="00596717"/>
    <w:rsid w:val="005A69AC"/>
    <w:rsid w:val="005B7C34"/>
    <w:rsid w:val="005C1494"/>
    <w:rsid w:val="005C20B0"/>
    <w:rsid w:val="005D5F1E"/>
    <w:rsid w:val="005F2823"/>
    <w:rsid w:val="006029F7"/>
    <w:rsid w:val="00607DE1"/>
    <w:rsid w:val="00624B6B"/>
    <w:rsid w:val="00633C86"/>
    <w:rsid w:val="0063723B"/>
    <w:rsid w:val="00652831"/>
    <w:rsid w:val="00657A23"/>
    <w:rsid w:val="00664E08"/>
    <w:rsid w:val="00664E4B"/>
    <w:rsid w:val="00685F27"/>
    <w:rsid w:val="00686208"/>
    <w:rsid w:val="006A103A"/>
    <w:rsid w:val="006A5607"/>
    <w:rsid w:val="006B9C15"/>
    <w:rsid w:val="006C6B55"/>
    <w:rsid w:val="006D6FDB"/>
    <w:rsid w:val="006E43DB"/>
    <w:rsid w:val="006F3A39"/>
    <w:rsid w:val="00706396"/>
    <w:rsid w:val="00727058"/>
    <w:rsid w:val="007272DD"/>
    <w:rsid w:val="00736B61"/>
    <w:rsid w:val="007508E5"/>
    <w:rsid w:val="007522D1"/>
    <w:rsid w:val="007713C7"/>
    <w:rsid w:val="00773172"/>
    <w:rsid w:val="007745FC"/>
    <w:rsid w:val="00785959"/>
    <w:rsid w:val="007872CE"/>
    <w:rsid w:val="007961B9"/>
    <w:rsid w:val="007A1416"/>
    <w:rsid w:val="007A2BDB"/>
    <w:rsid w:val="007A3E8F"/>
    <w:rsid w:val="007B3DC7"/>
    <w:rsid w:val="007B67D2"/>
    <w:rsid w:val="007C4163"/>
    <w:rsid w:val="007D7E4A"/>
    <w:rsid w:val="007E0484"/>
    <w:rsid w:val="007E086D"/>
    <w:rsid w:val="007E7232"/>
    <w:rsid w:val="007F1701"/>
    <w:rsid w:val="007F1854"/>
    <w:rsid w:val="007F5771"/>
    <w:rsid w:val="008029B2"/>
    <w:rsid w:val="008169FA"/>
    <w:rsid w:val="00817232"/>
    <w:rsid w:val="0082301C"/>
    <w:rsid w:val="00825910"/>
    <w:rsid w:val="00830C3F"/>
    <w:rsid w:val="008428A5"/>
    <w:rsid w:val="00842946"/>
    <w:rsid w:val="00844DE6"/>
    <w:rsid w:val="008535F7"/>
    <w:rsid w:val="00862C13"/>
    <w:rsid w:val="00863596"/>
    <w:rsid w:val="008665B7"/>
    <w:rsid w:val="008773DE"/>
    <w:rsid w:val="00887260"/>
    <w:rsid w:val="008967E6"/>
    <w:rsid w:val="008A2EF3"/>
    <w:rsid w:val="008A568B"/>
    <w:rsid w:val="008A6A3E"/>
    <w:rsid w:val="008B3CC1"/>
    <w:rsid w:val="008D1DA7"/>
    <w:rsid w:val="008D4E50"/>
    <w:rsid w:val="008E27E2"/>
    <w:rsid w:val="008F2A9F"/>
    <w:rsid w:val="00917387"/>
    <w:rsid w:val="00917BC9"/>
    <w:rsid w:val="009237F8"/>
    <w:rsid w:val="00923A97"/>
    <w:rsid w:val="009268A5"/>
    <w:rsid w:val="0093466A"/>
    <w:rsid w:val="00941732"/>
    <w:rsid w:val="00964F40"/>
    <w:rsid w:val="00966746"/>
    <w:rsid w:val="00977020"/>
    <w:rsid w:val="00982DC6"/>
    <w:rsid w:val="009933C6"/>
    <w:rsid w:val="00993444"/>
    <w:rsid w:val="009A104E"/>
    <w:rsid w:val="009A4673"/>
    <w:rsid w:val="009C1D9B"/>
    <w:rsid w:val="009C4DF0"/>
    <w:rsid w:val="009C72A3"/>
    <w:rsid w:val="009D3B90"/>
    <w:rsid w:val="009F0E70"/>
    <w:rsid w:val="009F3732"/>
    <w:rsid w:val="009F7C8F"/>
    <w:rsid w:val="00A010F1"/>
    <w:rsid w:val="00A06BBC"/>
    <w:rsid w:val="00A11D2E"/>
    <w:rsid w:val="00A2201B"/>
    <w:rsid w:val="00A27FD3"/>
    <w:rsid w:val="00A3362A"/>
    <w:rsid w:val="00A41536"/>
    <w:rsid w:val="00A53487"/>
    <w:rsid w:val="00A550E1"/>
    <w:rsid w:val="00A651D9"/>
    <w:rsid w:val="00A65F06"/>
    <w:rsid w:val="00A81E67"/>
    <w:rsid w:val="00A9487C"/>
    <w:rsid w:val="00AA1CC1"/>
    <w:rsid w:val="00AB45B1"/>
    <w:rsid w:val="00AD408A"/>
    <w:rsid w:val="00AE4D2F"/>
    <w:rsid w:val="00AE7755"/>
    <w:rsid w:val="00B025C3"/>
    <w:rsid w:val="00B0429E"/>
    <w:rsid w:val="00B05370"/>
    <w:rsid w:val="00B2307C"/>
    <w:rsid w:val="00B42CB9"/>
    <w:rsid w:val="00B62974"/>
    <w:rsid w:val="00B708EB"/>
    <w:rsid w:val="00B75E14"/>
    <w:rsid w:val="00B96CDC"/>
    <w:rsid w:val="00BA5B68"/>
    <w:rsid w:val="00BB4CDF"/>
    <w:rsid w:val="00BB7CF0"/>
    <w:rsid w:val="00BC6964"/>
    <w:rsid w:val="00BD604F"/>
    <w:rsid w:val="00BE6959"/>
    <w:rsid w:val="00BF1371"/>
    <w:rsid w:val="00C0135A"/>
    <w:rsid w:val="00C03226"/>
    <w:rsid w:val="00C13B19"/>
    <w:rsid w:val="00C15392"/>
    <w:rsid w:val="00C2003F"/>
    <w:rsid w:val="00C2640F"/>
    <w:rsid w:val="00C31716"/>
    <w:rsid w:val="00C3714C"/>
    <w:rsid w:val="00C52B49"/>
    <w:rsid w:val="00C66200"/>
    <w:rsid w:val="00C75A46"/>
    <w:rsid w:val="00C764C5"/>
    <w:rsid w:val="00C82191"/>
    <w:rsid w:val="00C84AA1"/>
    <w:rsid w:val="00CD0AAA"/>
    <w:rsid w:val="00CE5651"/>
    <w:rsid w:val="00CF1A36"/>
    <w:rsid w:val="00D106EF"/>
    <w:rsid w:val="00D32D5E"/>
    <w:rsid w:val="00D4200F"/>
    <w:rsid w:val="00D64BB7"/>
    <w:rsid w:val="00D65B4C"/>
    <w:rsid w:val="00D66DED"/>
    <w:rsid w:val="00D72A3E"/>
    <w:rsid w:val="00D80499"/>
    <w:rsid w:val="00D848E5"/>
    <w:rsid w:val="00D9764F"/>
    <w:rsid w:val="00DA7686"/>
    <w:rsid w:val="00DC465D"/>
    <w:rsid w:val="00DC5002"/>
    <w:rsid w:val="00DD563D"/>
    <w:rsid w:val="00DE352C"/>
    <w:rsid w:val="00DE3662"/>
    <w:rsid w:val="00DF68A9"/>
    <w:rsid w:val="00E07C01"/>
    <w:rsid w:val="00E247AB"/>
    <w:rsid w:val="00E3083F"/>
    <w:rsid w:val="00E332C7"/>
    <w:rsid w:val="00E4755B"/>
    <w:rsid w:val="00E607C7"/>
    <w:rsid w:val="00E63634"/>
    <w:rsid w:val="00E845F0"/>
    <w:rsid w:val="00E8566B"/>
    <w:rsid w:val="00EA1DF1"/>
    <w:rsid w:val="00EA744F"/>
    <w:rsid w:val="00EC1AED"/>
    <w:rsid w:val="00EC6193"/>
    <w:rsid w:val="00EF35A2"/>
    <w:rsid w:val="00EF5C55"/>
    <w:rsid w:val="00F15878"/>
    <w:rsid w:val="00F239FC"/>
    <w:rsid w:val="00F2503D"/>
    <w:rsid w:val="00F47399"/>
    <w:rsid w:val="00F53B8E"/>
    <w:rsid w:val="00F61A50"/>
    <w:rsid w:val="00F640AD"/>
    <w:rsid w:val="00F96442"/>
    <w:rsid w:val="00FA1364"/>
    <w:rsid w:val="00FC1D88"/>
    <w:rsid w:val="00FD3321"/>
    <w:rsid w:val="00FE302E"/>
    <w:rsid w:val="00FF3672"/>
    <w:rsid w:val="00FF6199"/>
    <w:rsid w:val="02F8A77A"/>
    <w:rsid w:val="077C0EDD"/>
    <w:rsid w:val="09BCB9FE"/>
    <w:rsid w:val="0A2DFFD6"/>
    <w:rsid w:val="0A966FF0"/>
    <w:rsid w:val="0B706510"/>
    <w:rsid w:val="0E05EA7B"/>
    <w:rsid w:val="0F2F1D14"/>
    <w:rsid w:val="0F5CDFF4"/>
    <w:rsid w:val="0F6E6A15"/>
    <w:rsid w:val="1232DA05"/>
    <w:rsid w:val="1493FB37"/>
    <w:rsid w:val="16691F1D"/>
    <w:rsid w:val="17754024"/>
    <w:rsid w:val="17ACCCC1"/>
    <w:rsid w:val="197D59E0"/>
    <w:rsid w:val="19F89816"/>
    <w:rsid w:val="1AACE0E6"/>
    <w:rsid w:val="1AE46D83"/>
    <w:rsid w:val="1B033CBB"/>
    <w:rsid w:val="1B946877"/>
    <w:rsid w:val="1BDC3BA7"/>
    <w:rsid w:val="1C803DE4"/>
    <w:rsid w:val="228D0E07"/>
    <w:rsid w:val="238461FB"/>
    <w:rsid w:val="23E3425B"/>
    <w:rsid w:val="242A6CF2"/>
    <w:rsid w:val="257D22B8"/>
    <w:rsid w:val="25D73579"/>
    <w:rsid w:val="273B9BAD"/>
    <w:rsid w:val="282E9679"/>
    <w:rsid w:val="28F100F9"/>
    <w:rsid w:val="28F8AD8D"/>
    <w:rsid w:val="2A76036C"/>
    <w:rsid w:val="2FDB65EA"/>
    <w:rsid w:val="30F9B79A"/>
    <w:rsid w:val="360A1FD0"/>
    <w:rsid w:val="38639092"/>
    <w:rsid w:val="38FF5DB0"/>
    <w:rsid w:val="397A1C09"/>
    <w:rsid w:val="3BAD8530"/>
    <w:rsid w:val="3C13F159"/>
    <w:rsid w:val="3D8F0D94"/>
    <w:rsid w:val="3FEA85D8"/>
    <w:rsid w:val="4014C35E"/>
    <w:rsid w:val="406ED61F"/>
    <w:rsid w:val="4163AB2F"/>
    <w:rsid w:val="427A87BD"/>
    <w:rsid w:val="427DBCF4"/>
    <w:rsid w:val="42CD9EC3"/>
    <w:rsid w:val="43352BC7"/>
    <w:rsid w:val="43849FF2"/>
    <w:rsid w:val="43FC5F14"/>
    <w:rsid w:val="4BF18ABE"/>
    <w:rsid w:val="50B22C55"/>
    <w:rsid w:val="532E4450"/>
    <w:rsid w:val="5428E4E1"/>
    <w:rsid w:val="542C1A18"/>
    <w:rsid w:val="55F40B42"/>
    <w:rsid w:val="5732EB47"/>
    <w:rsid w:val="575E525F"/>
    <w:rsid w:val="59323D78"/>
    <w:rsid w:val="5A0B4923"/>
    <w:rsid w:val="5B3CC293"/>
    <w:rsid w:val="5C0E4F9F"/>
    <w:rsid w:val="5F70371C"/>
    <w:rsid w:val="60DFCB0F"/>
    <w:rsid w:val="639430F8"/>
    <w:rsid w:val="63B580BC"/>
    <w:rsid w:val="63E5566A"/>
    <w:rsid w:val="641C7AC1"/>
    <w:rsid w:val="6593D411"/>
    <w:rsid w:val="66727639"/>
    <w:rsid w:val="68D1B497"/>
    <w:rsid w:val="6B01CC3C"/>
    <w:rsid w:val="6B1A4CFB"/>
    <w:rsid w:val="6B5B4A69"/>
    <w:rsid w:val="6E817CE9"/>
    <w:rsid w:val="7089D3A1"/>
    <w:rsid w:val="708BABE8"/>
    <w:rsid w:val="717CE725"/>
    <w:rsid w:val="73873ED8"/>
    <w:rsid w:val="73E365AE"/>
    <w:rsid w:val="74ED04DB"/>
    <w:rsid w:val="75082A31"/>
    <w:rsid w:val="7586D510"/>
    <w:rsid w:val="76E03178"/>
    <w:rsid w:val="778CBD3E"/>
    <w:rsid w:val="77B08F3B"/>
    <w:rsid w:val="7A48AB64"/>
    <w:rsid w:val="7AB8D68A"/>
    <w:rsid w:val="7D33FB52"/>
    <w:rsid w:val="7D6C848E"/>
    <w:rsid w:val="7DC21521"/>
    <w:rsid w:val="7F9CD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62FD"/>
  <w15:chartTrackingRefBased/>
  <w15:docId w15:val="{A098F043-815C-4504-B1FD-C7F27E87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03A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2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2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2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2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2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2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2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2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55"/>
  </w:style>
  <w:style w:type="paragraph" w:styleId="Footer">
    <w:name w:val="footer"/>
    <w:basedOn w:val="Normal"/>
    <w:link w:val="FooterChar"/>
    <w:uiPriority w:val="99"/>
    <w:unhideWhenUsed/>
    <w:rsid w:val="0018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55"/>
  </w:style>
  <w:style w:type="character" w:customStyle="1" w:styleId="Heading1Char">
    <w:name w:val="Heading 1 Char"/>
    <w:basedOn w:val="DefaultParagraphFont"/>
    <w:link w:val="Heading1"/>
    <w:uiPriority w:val="9"/>
    <w:rsid w:val="006A103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99"/>
    <w:qFormat/>
    <w:rsid w:val="006A1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6A10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rsid w:val="00EC61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Program Application Proccess  10.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 Application Proccess  10.</dc:title>
  <dc:subject/>
  <dc:creator>Tamarah Hoffman</dc:creator>
  <cp:keywords/>
  <dc:description/>
  <cp:lastModifiedBy>Danielle Mackelwich</cp:lastModifiedBy>
  <cp:revision>7</cp:revision>
  <cp:lastPrinted>2021-02-17T18:49:00Z</cp:lastPrinted>
  <dcterms:created xsi:type="dcterms:W3CDTF">2021-06-03T17:43:00Z</dcterms:created>
  <dcterms:modified xsi:type="dcterms:W3CDTF">2021-06-15T18:19:00Z</dcterms:modified>
</cp:coreProperties>
</file>